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6B724A">
        <w:rPr>
          <w:sz w:val="32"/>
        </w:rPr>
        <w:t>10</w:t>
      </w:r>
      <w:r>
        <w:rPr>
          <w:sz w:val="32"/>
        </w:rPr>
        <w:t>/</w:t>
      </w:r>
      <w:r w:rsidR="006B724A">
        <w:rPr>
          <w:sz w:val="32"/>
        </w:rPr>
        <w:t>11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320222">
        <w:rPr>
          <w:sz w:val="32"/>
        </w:rPr>
        <w:t>1</w:t>
      </w:r>
      <w:r w:rsidR="006B724A">
        <w:rPr>
          <w:sz w:val="32"/>
        </w:rPr>
        <w:t>6</w:t>
      </w:r>
      <w:r w:rsidR="008467A2">
        <w:rPr>
          <w:sz w:val="32"/>
        </w:rPr>
        <w:t>.</w:t>
      </w:r>
      <w:r w:rsidR="006B724A">
        <w:rPr>
          <w:sz w:val="32"/>
        </w:rPr>
        <w:t>11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Pr="00697706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320222">
        <w:rPr>
          <w:sz w:val="22"/>
          <w:szCs w:val="22"/>
        </w:rPr>
        <w:t>ndík,</w:t>
      </w:r>
      <w:r w:rsidR="006B604D" w:rsidRPr="00697706">
        <w:rPr>
          <w:sz w:val="22"/>
          <w:szCs w:val="22"/>
        </w:rPr>
        <w:t xml:space="preserve"> </w:t>
      </w:r>
      <w:r w:rsidR="006B724A" w:rsidRPr="00697706">
        <w:rPr>
          <w:sz w:val="22"/>
          <w:szCs w:val="22"/>
        </w:rPr>
        <w:t>Milan Svoboda</w:t>
      </w:r>
      <w:r w:rsidR="00320222">
        <w:rPr>
          <w:sz w:val="22"/>
          <w:szCs w:val="22"/>
        </w:rPr>
        <w:t xml:space="preserve">, </w:t>
      </w:r>
      <w:r w:rsidR="006B604D" w:rsidRPr="00697706">
        <w:rPr>
          <w:sz w:val="22"/>
          <w:szCs w:val="22"/>
        </w:rPr>
        <w:t xml:space="preserve">Tomáš Rozkydal, </w:t>
      </w:r>
      <w:r w:rsidR="00C625B7" w:rsidRPr="00697706">
        <w:rPr>
          <w:sz w:val="22"/>
          <w:szCs w:val="22"/>
        </w:rPr>
        <w:t xml:space="preserve">Vladimír Fučík, </w:t>
      </w:r>
      <w:r w:rsidR="00320222">
        <w:rPr>
          <w:sz w:val="22"/>
          <w:szCs w:val="22"/>
        </w:rPr>
        <w:t>František Klíma</w:t>
      </w:r>
      <w:r w:rsidR="00320222" w:rsidRPr="00697706">
        <w:rPr>
          <w:sz w:val="22"/>
          <w:szCs w:val="22"/>
        </w:rPr>
        <w:t xml:space="preserve"> </w:t>
      </w:r>
      <w:r w:rsidR="004223EE" w:rsidRPr="00697706">
        <w:rPr>
          <w:sz w:val="22"/>
          <w:szCs w:val="22"/>
        </w:rPr>
        <w:t xml:space="preserve">a </w:t>
      </w:r>
      <w:r w:rsidR="00672A16" w:rsidRPr="00697706">
        <w:rPr>
          <w:sz w:val="22"/>
          <w:szCs w:val="22"/>
        </w:rPr>
        <w:t>Dita Walterová</w:t>
      </w:r>
    </w:p>
    <w:p w:rsidR="00D12F1E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Martina </w:t>
      </w:r>
      <w:proofErr w:type="gramStart"/>
      <w:r w:rsidR="006B724A">
        <w:rPr>
          <w:sz w:val="22"/>
          <w:szCs w:val="22"/>
        </w:rPr>
        <w:t>Krátká</w:t>
      </w:r>
      <w:r w:rsidR="006B724A" w:rsidRPr="006B724A">
        <w:rPr>
          <w:sz w:val="22"/>
          <w:szCs w:val="22"/>
        </w:rPr>
        <w:t xml:space="preserve"> </w:t>
      </w:r>
      <w:r w:rsidR="006B724A" w:rsidRPr="00697706">
        <w:rPr>
          <w:sz w:val="22"/>
          <w:szCs w:val="22"/>
        </w:rPr>
        <w:t xml:space="preserve">, </w:t>
      </w:r>
      <w:r w:rsidR="006B724A">
        <w:rPr>
          <w:sz w:val="22"/>
          <w:szCs w:val="22"/>
        </w:rPr>
        <w:t>Martin</w:t>
      </w:r>
      <w:proofErr w:type="gramEnd"/>
      <w:r w:rsidR="006B724A">
        <w:rPr>
          <w:sz w:val="22"/>
          <w:szCs w:val="22"/>
        </w:rPr>
        <w:t xml:space="preserve"> Vašků</w:t>
      </w:r>
      <w:r w:rsidR="006B724A" w:rsidRPr="00697706">
        <w:rPr>
          <w:sz w:val="22"/>
          <w:szCs w:val="22"/>
        </w:rPr>
        <w:t xml:space="preserve">, Miroslava </w:t>
      </w:r>
      <w:proofErr w:type="spellStart"/>
      <w:r w:rsidR="006B724A" w:rsidRPr="00697706">
        <w:rPr>
          <w:sz w:val="22"/>
          <w:szCs w:val="22"/>
        </w:rPr>
        <w:t>Hyská</w:t>
      </w:r>
      <w:proofErr w:type="spellEnd"/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  <w:r>
        <w:rPr>
          <w:sz w:val="22"/>
          <w:szCs w:val="22"/>
        </w:rPr>
        <w:t>Tomáš Ivan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A71690">
        <w:rPr>
          <w:sz w:val="22"/>
          <w:szCs w:val="22"/>
        </w:rPr>
        <w:t>-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E65F4E" w:rsidRPr="00EF6539" w:rsidRDefault="00E65F4E">
      <w:pPr>
        <w:jc w:val="both"/>
        <w:rPr>
          <w:b/>
          <w:sz w:val="22"/>
          <w:szCs w:val="22"/>
        </w:rPr>
      </w:pPr>
    </w:p>
    <w:p w:rsidR="004223EE" w:rsidRPr="004223EE" w:rsidRDefault="006B724A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Čerpání říjen 2015</w:t>
      </w:r>
    </w:p>
    <w:p w:rsidR="004223EE" w:rsidRPr="004223EE" w:rsidRDefault="006B724A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 rozpočtových opatření</w:t>
      </w:r>
    </w:p>
    <w:p w:rsidR="00985348" w:rsidRDefault="006B724A" w:rsidP="0039360F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Vyúčtování autobusových linek</w:t>
      </w:r>
    </w:p>
    <w:p w:rsidR="0039360F" w:rsidRPr="00183767" w:rsidRDefault="0039360F" w:rsidP="00183767">
      <w:pPr>
        <w:rPr>
          <w:sz w:val="24"/>
          <w:szCs w:val="24"/>
        </w:rPr>
      </w:pPr>
    </w:p>
    <w:p w:rsidR="00FD2172" w:rsidRPr="0039360F" w:rsidRDefault="00E846EA" w:rsidP="00C10FC7">
      <w:pPr>
        <w:jc w:val="both"/>
        <w:rPr>
          <w:b/>
          <w:sz w:val="24"/>
          <w:szCs w:val="24"/>
        </w:rPr>
      </w:pPr>
      <w:r w:rsidRPr="0039360F">
        <w:rPr>
          <w:b/>
          <w:sz w:val="24"/>
          <w:szCs w:val="24"/>
        </w:rPr>
        <w:t xml:space="preserve">Na začátku byl domluven termín jednání finančního výboru, na kterém se bude projednávat návrh rozpočtu na rok 2016. Termín byl stanoven na pondělí </w:t>
      </w:r>
      <w:proofErr w:type="gramStart"/>
      <w:r w:rsidRPr="0039360F">
        <w:rPr>
          <w:b/>
          <w:sz w:val="24"/>
          <w:szCs w:val="24"/>
        </w:rPr>
        <w:t>30.11.2015</w:t>
      </w:r>
      <w:proofErr w:type="gramEnd"/>
      <w:r w:rsidRPr="0039360F">
        <w:rPr>
          <w:b/>
          <w:sz w:val="24"/>
          <w:szCs w:val="24"/>
        </w:rPr>
        <w:t xml:space="preserve"> od 18.00 hod.</w:t>
      </w:r>
    </w:p>
    <w:p w:rsidR="00E846EA" w:rsidRDefault="00E846EA" w:rsidP="00C10FC7">
      <w:pPr>
        <w:jc w:val="both"/>
        <w:rPr>
          <w:sz w:val="24"/>
          <w:szCs w:val="24"/>
        </w:rPr>
      </w:pPr>
    </w:p>
    <w:p w:rsidR="00E846EA" w:rsidRPr="0039360F" w:rsidRDefault="00E846EA" w:rsidP="00C10FC7">
      <w:pPr>
        <w:jc w:val="both"/>
        <w:rPr>
          <w:b/>
          <w:sz w:val="24"/>
          <w:szCs w:val="24"/>
        </w:rPr>
      </w:pPr>
      <w:r w:rsidRPr="0039360F">
        <w:rPr>
          <w:b/>
          <w:sz w:val="24"/>
          <w:szCs w:val="24"/>
        </w:rPr>
        <w:t xml:space="preserve">K bodu </w:t>
      </w:r>
      <w:r w:rsidR="0039360F">
        <w:rPr>
          <w:b/>
          <w:sz w:val="24"/>
          <w:szCs w:val="24"/>
        </w:rPr>
        <w:t>1)</w:t>
      </w:r>
    </w:p>
    <w:p w:rsidR="00E846EA" w:rsidRDefault="00E846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bylo předloženo čerpání rozpočtu za říjen 2015. U příjmové části byly diskutovány daňové příjmy, kdy se dá očekávat ne</w:t>
      </w:r>
      <w:r w:rsidR="00183767">
        <w:rPr>
          <w:sz w:val="24"/>
          <w:szCs w:val="24"/>
        </w:rPr>
        <w:t>na</w:t>
      </w:r>
      <w:r>
        <w:rPr>
          <w:sz w:val="24"/>
          <w:szCs w:val="24"/>
        </w:rPr>
        <w:t xml:space="preserve">plnění položky 1111 DPFOZČ. V případě současného trendu plnění této položky lze očekávat nenaplnění ve výši cca 1,1 mil. Ostatní daňové položky se již plní. Bylo dohodnuto, že na prosincové zastupitelstvo na stůl budou připraveny </w:t>
      </w:r>
      <w:r w:rsidR="006E2950">
        <w:rPr>
          <w:sz w:val="24"/>
          <w:szCs w:val="24"/>
        </w:rPr>
        <w:t>odhady naplnění do konce roku a budou navržen</w:t>
      </w:r>
      <w:r w:rsidR="00183767">
        <w:rPr>
          <w:sz w:val="24"/>
          <w:szCs w:val="24"/>
        </w:rPr>
        <w:t>a případná</w:t>
      </w:r>
      <w:r w:rsidR="006E2950">
        <w:rPr>
          <w:sz w:val="24"/>
          <w:szCs w:val="24"/>
        </w:rPr>
        <w:t xml:space="preserve"> rozpočtová opatření.</w:t>
      </w:r>
    </w:p>
    <w:p w:rsidR="006E2950" w:rsidRDefault="006E295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Rozpočtovým opatřením jsou řešeny pol. 1345 a 1334. Předložené návrhy opatření budou do zasedání ZM upraveny. Položku 1345 bude potřeba navýšit více, než bylo navrženo a navýšit bude třeba i § 6171 pol. 2112.</w:t>
      </w:r>
    </w:p>
    <w:p w:rsidR="006E2950" w:rsidRDefault="006E295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Diskutováno bylo i neplnění pol. 4216 (dotace na zateplení jídelny). Po jednání výboru dorazila na účet města první část dotace ve výši 1,4 mil.</w:t>
      </w:r>
    </w:p>
    <w:p w:rsidR="006E2950" w:rsidRDefault="006E2950" w:rsidP="00C10FC7">
      <w:pPr>
        <w:jc w:val="both"/>
        <w:rPr>
          <w:sz w:val="24"/>
          <w:szCs w:val="24"/>
        </w:rPr>
      </w:pPr>
    </w:p>
    <w:p w:rsidR="006E2950" w:rsidRPr="0039360F" w:rsidRDefault="006E2950" w:rsidP="00C10FC7">
      <w:pPr>
        <w:jc w:val="both"/>
        <w:rPr>
          <w:b/>
          <w:sz w:val="24"/>
          <w:szCs w:val="24"/>
        </w:rPr>
      </w:pPr>
      <w:r w:rsidRPr="0039360F">
        <w:rPr>
          <w:b/>
          <w:sz w:val="24"/>
          <w:szCs w:val="24"/>
        </w:rPr>
        <w:t>Při projednávání příjmů byli přítomni 4 členové výboru, proto nebylo hlasováno. Členové projednali příjmovou část a nemají výhrad, vyjma navržených rozpočtových opatření.</w:t>
      </w:r>
    </w:p>
    <w:p w:rsidR="006E2950" w:rsidRDefault="006E2950" w:rsidP="00C10FC7">
      <w:pPr>
        <w:jc w:val="both"/>
        <w:rPr>
          <w:sz w:val="24"/>
          <w:szCs w:val="24"/>
        </w:rPr>
      </w:pPr>
    </w:p>
    <w:p w:rsidR="006E2950" w:rsidRDefault="006E295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příjmů přišel p. Klíma. Přítomno 5 členů a výbor je usnášeníschopný.</w:t>
      </w:r>
    </w:p>
    <w:p w:rsidR="006E2950" w:rsidRDefault="006E2950" w:rsidP="00C10FC7">
      <w:pPr>
        <w:jc w:val="both"/>
        <w:rPr>
          <w:sz w:val="24"/>
          <w:szCs w:val="24"/>
        </w:rPr>
      </w:pPr>
    </w:p>
    <w:p w:rsidR="00A80D0E" w:rsidRDefault="006E295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byla diskutována pol. 6121 § 2212(investice do silnic). Byla předložena upravená tabulka přehledu čerpání ke konci října. Z tabulky vyplývá, že ke konci října je čerpáno 29</w:t>
      </w:r>
      <w:r w:rsidR="003937D3">
        <w:rPr>
          <w:sz w:val="24"/>
          <w:szCs w:val="24"/>
        </w:rPr>
        <w:t> </w:t>
      </w:r>
      <w:r>
        <w:rPr>
          <w:sz w:val="24"/>
          <w:szCs w:val="24"/>
        </w:rPr>
        <w:t>435</w:t>
      </w:r>
      <w:r w:rsidR="00393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191,58 Kč. </w:t>
      </w:r>
      <w:r w:rsidR="00A80D0E">
        <w:rPr>
          <w:sz w:val="24"/>
          <w:szCs w:val="24"/>
        </w:rPr>
        <w:t xml:space="preserve">Tabulka čerpání a předpokládaného čerpání je přílohou zápisu. </w:t>
      </w:r>
    </w:p>
    <w:p w:rsidR="00A80D0E" w:rsidRDefault="00A80D0E" w:rsidP="00C10FC7">
      <w:pPr>
        <w:jc w:val="both"/>
        <w:rPr>
          <w:sz w:val="24"/>
          <w:szCs w:val="24"/>
        </w:rPr>
      </w:pPr>
    </w:p>
    <w:p w:rsidR="00607634" w:rsidRDefault="00A80D0E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výbor v tuto chvíli nemá informace, které investice se neprovedou a nezná výši možných nákladů za výkopové práce přeložek sítí a archeologických průzkumů. V případě, že by se uhradily veškeré smluvené investice, je reálná možnost přečerpání pol. 6121.</w:t>
      </w:r>
      <w:bookmarkStart w:id="0" w:name="_GoBack"/>
      <w:bookmarkEnd w:id="0"/>
    </w:p>
    <w:p w:rsidR="00A80D0E" w:rsidRDefault="00A80D0E" w:rsidP="00C10FC7">
      <w:pPr>
        <w:jc w:val="both"/>
        <w:rPr>
          <w:sz w:val="24"/>
          <w:szCs w:val="24"/>
        </w:rPr>
      </w:pPr>
    </w:p>
    <w:p w:rsidR="00A80D0E" w:rsidRPr="00A80D0E" w:rsidRDefault="00A80D0E" w:rsidP="00C10FC7">
      <w:pPr>
        <w:jc w:val="both"/>
        <w:rPr>
          <w:b/>
          <w:sz w:val="24"/>
          <w:szCs w:val="24"/>
        </w:rPr>
      </w:pPr>
      <w:r w:rsidRPr="00A80D0E">
        <w:rPr>
          <w:b/>
          <w:sz w:val="24"/>
          <w:szCs w:val="24"/>
        </w:rPr>
        <w:t>Návrh usnesení FV č. 62/2015</w:t>
      </w:r>
    </w:p>
    <w:p w:rsidR="006E2950" w:rsidRDefault="00A80D0E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FV upozorňuje na riziko přečerpání v § 2212 pol. 6121 o 2,5 mil. </w:t>
      </w:r>
    </w:p>
    <w:p w:rsidR="00A80D0E" w:rsidRDefault="00A80D0E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(5)</w:t>
      </w:r>
    </w:p>
    <w:p w:rsidR="00A80D0E" w:rsidRDefault="00A80D0E" w:rsidP="00C10FC7">
      <w:pPr>
        <w:jc w:val="both"/>
        <w:rPr>
          <w:sz w:val="24"/>
          <w:szCs w:val="24"/>
        </w:rPr>
      </w:pPr>
    </w:p>
    <w:p w:rsidR="00A80D0E" w:rsidRDefault="0039360F" w:rsidP="00C10FC7">
      <w:pPr>
        <w:jc w:val="both"/>
        <w:rPr>
          <w:b/>
          <w:sz w:val="24"/>
          <w:szCs w:val="24"/>
        </w:rPr>
      </w:pPr>
      <w:r w:rsidRPr="0039360F">
        <w:rPr>
          <w:b/>
          <w:sz w:val="24"/>
          <w:szCs w:val="24"/>
        </w:rPr>
        <w:t>Po projednání vzal FV výdajovou část na vědomí.</w:t>
      </w:r>
    </w:p>
    <w:p w:rsidR="0039360F" w:rsidRDefault="0039360F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 bodu </w:t>
      </w:r>
      <w:r w:rsidR="003937D3">
        <w:rPr>
          <w:b/>
          <w:sz w:val="24"/>
          <w:szCs w:val="24"/>
        </w:rPr>
        <w:t>2)</w:t>
      </w:r>
    </w:p>
    <w:p w:rsidR="0039360F" w:rsidRDefault="0039360F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Členům výboru byl předložen materiál s návrhy rozpočtových opatření. Materiál byl připraven ještě před přehledem čerpání rozpočtu za říjen. V přehledu čerpání za říjen jsou některé příjmové položky čerpány více, než bylo plánováno, proto na jednání ZM bude předložena upravená verze návrhu č. 42/2015.</w:t>
      </w:r>
    </w:p>
    <w:p w:rsidR="0039360F" w:rsidRDefault="0039360F" w:rsidP="00C10FC7">
      <w:pPr>
        <w:jc w:val="both"/>
        <w:rPr>
          <w:b/>
          <w:sz w:val="24"/>
          <w:szCs w:val="24"/>
        </w:rPr>
      </w:pPr>
    </w:p>
    <w:p w:rsid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  <w:r w:rsidRPr="0039360F">
        <w:rPr>
          <w:rFonts w:cs="HelveticaNeue-Bold"/>
          <w:b/>
          <w:bCs/>
          <w:sz w:val="24"/>
          <w:szCs w:val="24"/>
        </w:rPr>
        <w:t xml:space="preserve">Návrh rozpočtového opatření č. 40/2015  </w:t>
      </w:r>
      <w:r w:rsidRPr="0039360F">
        <w:rPr>
          <w:rFonts w:cs="HelveticaNeue-Bold"/>
          <w:bCs/>
          <w:sz w:val="24"/>
          <w:szCs w:val="24"/>
        </w:rPr>
        <w:t>vychází z žádosti oddělení životního prostřední o přesun financí v rámci § 3741 (ochrana druhů a stanovišť). Částku 2 500,- Kč je potřeba přesunout z pol. 5139 (nákup materiálu) do pol. 5169 (nákup ostatních služeb). Za finance v </w:t>
      </w:r>
      <w:proofErr w:type="gramStart"/>
      <w:r w:rsidRPr="0039360F">
        <w:rPr>
          <w:rFonts w:cs="HelveticaNeue-Bold"/>
          <w:bCs/>
          <w:sz w:val="24"/>
          <w:szCs w:val="24"/>
        </w:rPr>
        <w:t>pol.</w:t>
      </w:r>
      <w:proofErr w:type="gramEnd"/>
      <w:r w:rsidRPr="0039360F">
        <w:rPr>
          <w:rFonts w:cs="HelveticaNeue-Bold"/>
          <w:bCs/>
          <w:sz w:val="24"/>
          <w:szCs w:val="24"/>
        </w:rPr>
        <w:t xml:space="preserve"> 5169 budou nakoupeny psí boudy do dočasných záchytných kotců.</w:t>
      </w:r>
    </w:p>
    <w:p w:rsid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</w:p>
    <w:p w:rsidR="0039360F" w:rsidRDefault="0039360F" w:rsidP="0039360F">
      <w:pPr>
        <w:jc w:val="both"/>
        <w:rPr>
          <w:rFonts w:cs="HelveticaNeue-Bold"/>
          <w:b/>
          <w:bCs/>
          <w:sz w:val="24"/>
          <w:szCs w:val="24"/>
        </w:rPr>
      </w:pPr>
      <w:r w:rsidRPr="0039360F">
        <w:rPr>
          <w:rFonts w:cs="HelveticaNeue-Bold"/>
          <w:b/>
          <w:bCs/>
          <w:sz w:val="24"/>
          <w:szCs w:val="24"/>
        </w:rPr>
        <w:t>Návrh usnesení FV č. 63/2015</w:t>
      </w:r>
    </w:p>
    <w:p w:rsidR="0039360F" w:rsidRDefault="0039360F" w:rsidP="0039360F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doporučuje ZM schválit rozpočtové opatření č. 40/2015 </w:t>
      </w:r>
      <w:r w:rsidRPr="0039360F">
        <w:rPr>
          <w:rFonts w:cs="HelveticaNeue-Bold"/>
          <w:b/>
          <w:bCs/>
          <w:sz w:val="24"/>
          <w:szCs w:val="24"/>
        </w:rPr>
        <w:t>spočívající v přesunu částky 2 500 Kč v rámci § 3741 z položky 5139 do pol. 5169</w:t>
      </w:r>
      <w:r>
        <w:rPr>
          <w:rFonts w:cs="HelveticaNeue-Bold"/>
          <w:b/>
          <w:bCs/>
          <w:sz w:val="24"/>
          <w:szCs w:val="24"/>
        </w:rPr>
        <w:t>.</w:t>
      </w: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  <w:r w:rsidRPr="0039360F">
        <w:rPr>
          <w:rFonts w:cs="HelveticaNeue-Bold"/>
          <w:bCs/>
          <w:sz w:val="24"/>
          <w:szCs w:val="24"/>
        </w:rPr>
        <w:t>Hlasování: Pro: všichni přítomní (5)</w:t>
      </w: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</w:p>
    <w:p w:rsidR="0039360F" w:rsidRDefault="0039360F" w:rsidP="0039360F">
      <w:pPr>
        <w:jc w:val="both"/>
        <w:rPr>
          <w:sz w:val="24"/>
          <w:szCs w:val="24"/>
        </w:rPr>
      </w:pPr>
      <w:r w:rsidRPr="0039360F">
        <w:rPr>
          <w:rFonts w:cs="HelveticaNeue-Bold"/>
          <w:b/>
          <w:bCs/>
          <w:sz w:val="24"/>
          <w:szCs w:val="24"/>
        </w:rPr>
        <w:t>Návrh rozpočtového opatření č. 41/2015</w:t>
      </w:r>
      <w:r w:rsidRPr="0039360F">
        <w:rPr>
          <w:rFonts w:cs="HelveticaNeue-Bold"/>
          <w:bCs/>
          <w:sz w:val="24"/>
          <w:szCs w:val="24"/>
        </w:rPr>
        <w:t xml:space="preserve"> řeší navýšení příjmů a výdajů v souvislosti s nákupem a následným prodejem kontejnerů firmě EKO-KOM. Zastupitelstvo schválilo </w:t>
      </w:r>
      <w:r w:rsidRPr="0039360F">
        <w:rPr>
          <w:sz w:val="24"/>
          <w:szCs w:val="24"/>
        </w:rPr>
        <w:t>Dohodu o spolupráci a společném postupu při realizaci obnovy a rozšíření sběrné sítě se společností EKO-KOM, a. s. Před samotnou realizací této dohody bylo nutné nejdříve odkoupit sběrné nádoby od Technických služeb a následně tyto nádoby prodat firmě EKO-KOM. Tento nákup a následný prodej navýší jak výdajovou, tak příjmovou stránku rozpočtu. V příjmech je třeba navýšit § 3722 (sběr a svoz komunálních odpadů) pol. 2112 (příjmy z prodeje zboží) o 419 521,- Kč a výdaje v § 3722 pol. 5138 (nákup zboží za účelem prodeje) o stejnou částku.</w:t>
      </w:r>
    </w:p>
    <w:p w:rsidR="001C75A0" w:rsidRDefault="001C75A0" w:rsidP="0039360F">
      <w:pPr>
        <w:jc w:val="both"/>
        <w:rPr>
          <w:sz w:val="24"/>
          <w:szCs w:val="24"/>
        </w:rPr>
      </w:pPr>
    </w:p>
    <w:p w:rsidR="001C75A0" w:rsidRDefault="001C75A0" w:rsidP="003936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projednávání tohoto bodu bylo řešeno, </w:t>
      </w:r>
      <w:r w:rsidR="003937D3">
        <w:rPr>
          <w:sz w:val="24"/>
          <w:szCs w:val="24"/>
        </w:rPr>
        <w:t xml:space="preserve">že </w:t>
      </w:r>
      <w:proofErr w:type="gramStart"/>
      <w:r w:rsidR="003937D3">
        <w:rPr>
          <w:sz w:val="24"/>
          <w:szCs w:val="24"/>
        </w:rPr>
        <w:t>finance</w:t>
      </w:r>
      <w:r>
        <w:rPr>
          <w:sz w:val="24"/>
          <w:szCs w:val="24"/>
        </w:rPr>
        <w:t xml:space="preserve"> které</w:t>
      </w:r>
      <w:proofErr w:type="gramEnd"/>
      <w:r>
        <w:rPr>
          <w:sz w:val="24"/>
          <w:szCs w:val="24"/>
        </w:rPr>
        <w:t xml:space="preserve"> obdržely Technické služby za prodej kontejnerů městu, by měly způsobit nevyčerpání příspěvku na provoz.</w:t>
      </w:r>
      <w:r w:rsidR="00F811C3">
        <w:rPr>
          <w:sz w:val="24"/>
          <w:szCs w:val="24"/>
        </w:rPr>
        <w:t xml:space="preserve"> Výši nevyčerpaného příspěvku bude řešit Rada města, na základě žádosti TS. </w:t>
      </w:r>
      <w:r>
        <w:rPr>
          <w:sz w:val="24"/>
          <w:szCs w:val="24"/>
        </w:rPr>
        <w:t xml:space="preserve"> </w:t>
      </w:r>
    </w:p>
    <w:p w:rsidR="001C75A0" w:rsidRDefault="001C75A0" w:rsidP="0039360F">
      <w:pPr>
        <w:jc w:val="both"/>
        <w:rPr>
          <w:sz w:val="24"/>
          <w:szCs w:val="24"/>
        </w:rPr>
      </w:pPr>
    </w:p>
    <w:p w:rsidR="0039360F" w:rsidRDefault="0039360F" w:rsidP="0039360F">
      <w:pPr>
        <w:jc w:val="both"/>
        <w:rPr>
          <w:rFonts w:cs="HelveticaNeue-Bold"/>
          <w:b/>
          <w:bCs/>
          <w:sz w:val="24"/>
          <w:szCs w:val="24"/>
        </w:rPr>
      </w:pPr>
      <w:r w:rsidRPr="0039360F">
        <w:rPr>
          <w:rFonts w:cs="HelveticaNeue-Bold"/>
          <w:b/>
          <w:bCs/>
          <w:sz w:val="24"/>
          <w:szCs w:val="24"/>
        </w:rPr>
        <w:t>Návrh usnesení FV č. 6</w:t>
      </w:r>
      <w:r>
        <w:rPr>
          <w:rFonts w:cs="HelveticaNeue-Bold"/>
          <w:b/>
          <w:bCs/>
          <w:sz w:val="24"/>
          <w:szCs w:val="24"/>
        </w:rPr>
        <w:t>4</w:t>
      </w:r>
      <w:r w:rsidRPr="0039360F">
        <w:rPr>
          <w:rFonts w:cs="HelveticaNeue-Bold"/>
          <w:b/>
          <w:bCs/>
          <w:sz w:val="24"/>
          <w:szCs w:val="24"/>
        </w:rPr>
        <w:t>/2015</w:t>
      </w:r>
    </w:p>
    <w:p w:rsidR="0039360F" w:rsidRPr="0039360F" w:rsidRDefault="0039360F" w:rsidP="0039360F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doporučuje ZM schválit rozpočtové opatření č. 41/2015 </w:t>
      </w:r>
      <w:r w:rsidRPr="0039360F">
        <w:rPr>
          <w:rFonts w:cs="HelveticaNeue-Bold"/>
          <w:b/>
          <w:bCs/>
          <w:sz w:val="24"/>
          <w:szCs w:val="24"/>
        </w:rPr>
        <w:t>spořívající v navýšení příjmů v § 3722 pol. 2112 o 419 521 Kč a výdajů v § 3722 pol. 5138 o 419 521 Kč.</w:t>
      </w: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  <w:r w:rsidRPr="0039360F">
        <w:rPr>
          <w:rFonts w:cs="HelveticaNeue-Bold"/>
          <w:bCs/>
          <w:sz w:val="24"/>
          <w:szCs w:val="24"/>
        </w:rPr>
        <w:t>Hlasování: Pro: všichni přítomní (5)</w:t>
      </w: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  <w:r w:rsidRPr="0039360F">
        <w:rPr>
          <w:rFonts w:cs="HelveticaNeue-Bold"/>
          <w:b/>
          <w:bCs/>
          <w:sz w:val="24"/>
          <w:szCs w:val="24"/>
        </w:rPr>
        <w:t>Návrh rozpočtového opatření č. 42/2015</w:t>
      </w:r>
      <w:r w:rsidRPr="0039360F">
        <w:rPr>
          <w:rFonts w:cs="HelveticaNeue-Bold"/>
          <w:bCs/>
          <w:sz w:val="24"/>
          <w:szCs w:val="24"/>
        </w:rPr>
        <w:t xml:space="preserve"> řeší příjmové položky, které jsou plněny z více než 100% a další plnění se očekává. O částku, o kterou jsou příjmy celkově navýšeny, bude ve výdajové části navýšena nespecifikovaná rezerva rozpočtu. Soupis navýšení je uveden v tabulce.</w:t>
      </w:r>
      <w:r>
        <w:rPr>
          <w:rFonts w:cs="HelveticaNeue-Bold"/>
          <w:bCs/>
          <w:sz w:val="24"/>
          <w:szCs w:val="24"/>
        </w:rPr>
        <w:t xml:space="preserve"> Tento návrh byl upraven podle říjnového čerpání následovně:</w:t>
      </w:r>
    </w:p>
    <w:p w:rsidR="0039360F" w:rsidRPr="0039360F" w:rsidRDefault="0039360F" w:rsidP="0039360F">
      <w:pPr>
        <w:jc w:val="both"/>
        <w:rPr>
          <w:rFonts w:cs="HelveticaNeue-Bold"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3"/>
        <w:gridCol w:w="3174"/>
        <w:gridCol w:w="1701"/>
        <w:gridCol w:w="1418"/>
      </w:tblGrid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39360F">
              <w:rPr>
                <w:rFonts w:cs="HelveticaNeue-Bold"/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39360F">
              <w:rPr>
                <w:rFonts w:cs="HelveticaNeue-Bold"/>
                <w:b/>
                <w:bCs/>
                <w:sz w:val="24"/>
                <w:szCs w:val="24"/>
              </w:rPr>
              <w:t>navýšení o: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39360F">
              <w:rPr>
                <w:rFonts w:cs="HelveticaNeue-Bold"/>
                <w:b/>
                <w:bCs/>
                <w:sz w:val="24"/>
                <w:szCs w:val="24"/>
              </w:rPr>
              <w:t>důvod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39360F">
              <w:rPr>
                <w:rFonts w:cs="HelveticaNeue-Bold"/>
                <w:b/>
                <w:bCs/>
                <w:sz w:val="24"/>
                <w:szCs w:val="24"/>
              </w:rPr>
              <w:t>výdaje</w:t>
            </w: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/>
                <w:bCs/>
                <w:sz w:val="24"/>
                <w:szCs w:val="24"/>
              </w:rPr>
            </w:pPr>
            <w:r w:rsidRPr="0039360F">
              <w:rPr>
                <w:rFonts w:cs="HelveticaNeue-Bold"/>
                <w:b/>
                <w:bCs/>
                <w:sz w:val="24"/>
                <w:szCs w:val="24"/>
              </w:rPr>
              <w:t>navýšení o:</w:t>
            </w: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proofErr w:type="gramStart"/>
            <w:r w:rsidRPr="0039360F">
              <w:rPr>
                <w:rFonts w:cs="HelveticaNeue-Bold"/>
                <w:bCs/>
                <w:sz w:val="24"/>
                <w:szCs w:val="24"/>
              </w:rPr>
              <w:t>pol.1334</w:t>
            </w:r>
            <w:proofErr w:type="gramEnd"/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100 000,-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Rozhodnutí o vynětí ze ZPF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6171 pol. 5901</w:t>
            </w: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>276 500,-</w:t>
            </w: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pol. 1345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>3</w:t>
            </w:r>
            <w:r w:rsidRPr="0039360F">
              <w:rPr>
                <w:rFonts w:cs="HelveticaNeue-Bold"/>
                <w:bCs/>
                <w:sz w:val="24"/>
                <w:szCs w:val="24"/>
              </w:rPr>
              <w:t>0 000,-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 xml:space="preserve">Vyšší počet ubytovaných 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§ 3632 pol. 2111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25 000,-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Smlouvy na hrobová místa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§ 3639 pol. 3111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66 000,-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Prodej pozemku pod garáží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§ 6171 pol. 2111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53 000,-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 xml:space="preserve">Přívoz na Slavnostech + </w:t>
            </w:r>
            <w:proofErr w:type="spellStart"/>
            <w:r w:rsidRPr="0039360F">
              <w:rPr>
                <w:rFonts w:cs="HelveticaNeue-Bold"/>
                <w:bCs/>
                <w:sz w:val="24"/>
                <w:szCs w:val="24"/>
              </w:rPr>
              <w:t>farm</w:t>
            </w:r>
            <w:proofErr w:type="spellEnd"/>
            <w:r w:rsidRPr="0039360F">
              <w:rPr>
                <w:rFonts w:cs="HelveticaNeue-Bold"/>
                <w:bCs/>
                <w:sz w:val="24"/>
                <w:szCs w:val="24"/>
              </w:rPr>
              <w:t>. trhy</w:t>
            </w: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>§ 6171pol. 2112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 xml:space="preserve">  2 500,-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 xml:space="preserve">Vyšší prodej </w:t>
            </w:r>
            <w:proofErr w:type="spellStart"/>
            <w:r>
              <w:rPr>
                <w:rFonts w:cs="HelveticaNeue-Bold"/>
                <w:bCs/>
                <w:sz w:val="24"/>
                <w:szCs w:val="24"/>
              </w:rPr>
              <w:t>prop.předmětů</w:t>
            </w:r>
            <w:proofErr w:type="spellEnd"/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39360F" w:rsidRPr="0039360F" w:rsidTr="0039360F">
        <w:tc>
          <w:tcPr>
            <w:tcW w:w="1844" w:type="dxa"/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celkem</w:t>
            </w:r>
          </w:p>
        </w:tc>
        <w:tc>
          <w:tcPr>
            <w:tcW w:w="1503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2</w:t>
            </w:r>
            <w:r>
              <w:rPr>
                <w:rFonts w:cs="HelveticaNeue-Bold"/>
                <w:bCs/>
                <w:sz w:val="24"/>
                <w:szCs w:val="24"/>
              </w:rPr>
              <w:t>76</w:t>
            </w:r>
            <w:r w:rsidRPr="0039360F">
              <w:rPr>
                <w:rFonts w:cs="HelveticaNeue-Bold"/>
                <w:bCs/>
                <w:sz w:val="24"/>
                <w:szCs w:val="24"/>
              </w:rPr>
              <w:t> </w:t>
            </w:r>
            <w:r>
              <w:rPr>
                <w:rFonts w:cs="HelveticaNeue-Bold"/>
                <w:bCs/>
                <w:sz w:val="24"/>
                <w:szCs w:val="24"/>
              </w:rPr>
              <w:t>5</w:t>
            </w:r>
            <w:r w:rsidRPr="0039360F">
              <w:rPr>
                <w:rFonts w:cs="HelveticaNeue-Bold"/>
                <w:bCs/>
                <w:sz w:val="24"/>
                <w:szCs w:val="24"/>
              </w:rPr>
              <w:t>00 Kč</w:t>
            </w:r>
          </w:p>
        </w:tc>
        <w:tc>
          <w:tcPr>
            <w:tcW w:w="3174" w:type="dxa"/>
            <w:tcBorders>
              <w:righ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000000"/>
            </w:tcBorders>
            <w:shd w:val="clear" w:color="auto" w:fill="auto"/>
          </w:tcPr>
          <w:p w:rsidR="0039360F" w:rsidRPr="0039360F" w:rsidRDefault="0039360F" w:rsidP="009B17B5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39360F">
              <w:rPr>
                <w:rFonts w:cs="HelveticaNeue-Bold"/>
                <w:bCs/>
                <w:sz w:val="24"/>
                <w:szCs w:val="24"/>
              </w:rPr>
              <w:t>celkem</w:t>
            </w:r>
          </w:p>
        </w:tc>
        <w:tc>
          <w:tcPr>
            <w:tcW w:w="1418" w:type="dxa"/>
            <w:shd w:val="clear" w:color="auto" w:fill="auto"/>
          </w:tcPr>
          <w:p w:rsidR="0039360F" w:rsidRPr="0039360F" w:rsidRDefault="0039360F" w:rsidP="0039360F">
            <w:pPr>
              <w:jc w:val="right"/>
              <w:rPr>
                <w:rFonts w:cs="HelveticaNeue-Bold"/>
                <w:bCs/>
                <w:sz w:val="24"/>
                <w:szCs w:val="24"/>
              </w:rPr>
            </w:pPr>
            <w:r>
              <w:rPr>
                <w:rFonts w:cs="HelveticaNeue-Bold"/>
                <w:bCs/>
                <w:sz w:val="24"/>
                <w:szCs w:val="24"/>
              </w:rPr>
              <w:t>276 500</w:t>
            </w:r>
            <w:r w:rsidRPr="0039360F">
              <w:rPr>
                <w:rFonts w:cs="HelveticaNeue-Bold"/>
                <w:bCs/>
                <w:sz w:val="24"/>
                <w:szCs w:val="24"/>
              </w:rPr>
              <w:t xml:space="preserve"> Kč</w:t>
            </w:r>
          </w:p>
        </w:tc>
      </w:tr>
    </w:tbl>
    <w:p w:rsidR="0039360F" w:rsidRDefault="001C75A0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65/2015</w:t>
      </w:r>
    </w:p>
    <w:p w:rsidR="001C75A0" w:rsidRDefault="001C75A0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42/2015 dle tabulky</w:t>
      </w:r>
    </w:p>
    <w:p w:rsidR="001C75A0" w:rsidRDefault="001C75A0" w:rsidP="00C10FC7">
      <w:pPr>
        <w:jc w:val="both"/>
        <w:rPr>
          <w:sz w:val="24"/>
          <w:szCs w:val="24"/>
        </w:rPr>
      </w:pPr>
      <w:r w:rsidRPr="001C75A0">
        <w:rPr>
          <w:sz w:val="24"/>
          <w:szCs w:val="24"/>
        </w:rPr>
        <w:t>Hlasování: Pro: všichni přítomní (5)</w:t>
      </w:r>
    </w:p>
    <w:p w:rsidR="001C75A0" w:rsidRDefault="001C75A0" w:rsidP="00C10FC7">
      <w:pPr>
        <w:jc w:val="both"/>
        <w:rPr>
          <w:sz w:val="24"/>
          <w:szCs w:val="24"/>
        </w:rPr>
      </w:pPr>
    </w:p>
    <w:p w:rsidR="001C75A0" w:rsidRDefault="001C75A0" w:rsidP="00C10FC7">
      <w:pPr>
        <w:jc w:val="both"/>
        <w:rPr>
          <w:b/>
          <w:sz w:val="24"/>
          <w:szCs w:val="24"/>
        </w:rPr>
      </w:pPr>
      <w:r w:rsidRPr="001C75A0">
        <w:rPr>
          <w:b/>
          <w:sz w:val="24"/>
          <w:szCs w:val="24"/>
        </w:rPr>
        <w:t>K bodu 3)</w:t>
      </w:r>
    </w:p>
    <w:p w:rsidR="00F811C3" w:rsidRDefault="00F811C3" w:rsidP="00C10FC7">
      <w:pPr>
        <w:jc w:val="both"/>
        <w:rPr>
          <w:sz w:val="24"/>
          <w:szCs w:val="24"/>
        </w:rPr>
      </w:pPr>
      <w:r w:rsidRPr="00F811C3">
        <w:rPr>
          <w:sz w:val="24"/>
          <w:szCs w:val="24"/>
        </w:rPr>
        <w:t>Čle</w:t>
      </w:r>
      <w:r>
        <w:rPr>
          <w:sz w:val="24"/>
          <w:szCs w:val="24"/>
        </w:rPr>
        <w:t xml:space="preserve">nům výboru bylo předloženo vyúčtování autobusových linek za rok 2014. U linek 340 a 359 je druhým rokem přeplatek. </w:t>
      </w:r>
      <w:r w:rsidR="003937D3">
        <w:rPr>
          <w:sz w:val="24"/>
          <w:szCs w:val="24"/>
        </w:rPr>
        <w:t>Za rok 2014 je přeplatek ve výši 222 281,42 Kč.</w:t>
      </w:r>
    </w:p>
    <w:p w:rsidR="00F811C3" w:rsidRDefault="00F811C3" w:rsidP="00C10FC7">
      <w:pPr>
        <w:jc w:val="both"/>
        <w:rPr>
          <w:sz w:val="24"/>
          <w:szCs w:val="24"/>
        </w:rPr>
      </w:pPr>
    </w:p>
    <w:p w:rsidR="00F811C3" w:rsidRDefault="00F811C3" w:rsidP="00C10FC7">
      <w:pPr>
        <w:jc w:val="both"/>
        <w:rPr>
          <w:b/>
          <w:sz w:val="24"/>
          <w:szCs w:val="24"/>
        </w:rPr>
      </w:pPr>
      <w:r w:rsidRPr="00F811C3">
        <w:rPr>
          <w:b/>
          <w:sz w:val="24"/>
          <w:szCs w:val="24"/>
        </w:rPr>
        <w:t xml:space="preserve">FV hlasoval o návrhu usnesení </w:t>
      </w:r>
      <w:r w:rsidR="00183767">
        <w:rPr>
          <w:b/>
          <w:sz w:val="24"/>
          <w:szCs w:val="24"/>
        </w:rPr>
        <w:t xml:space="preserve">FV </w:t>
      </w:r>
      <w:r w:rsidRPr="00F811C3">
        <w:rPr>
          <w:b/>
          <w:sz w:val="24"/>
          <w:szCs w:val="24"/>
        </w:rPr>
        <w:t>č. 66/2015</w:t>
      </w:r>
    </w:p>
    <w:p w:rsidR="00F811C3" w:rsidRDefault="00F811C3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doporučuje ZM </w:t>
      </w:r>
      <w:r w:rsidR="00183767">
        <w:rPr>
          <w:b/>
          <w:sz w:val="24"/>
          <w:szCs w:val="24"/>
        </w:rPr>
        <w:t xml:space="preserve">uložit RM projednat, aby přeplatek na jízdném linky 340 a 359 byl použitý na případné posílení linky 340 v době </w:t>
      </w:r>
      <w:r w:rsidR="003937D3">
        <w:rPr>
          <w:b/>
          <w:sz w:val="24"/>
          <w:szCs w:val="24"/>
        </w:rPr>
        <w:t xml:space="preserve">dopravní </w:t>
      </w:r>
      <w:r w:rsidR="00183767">
        <w:rPr>
          <w:b/>
          <w:sz w:val="24"/>
          <w:szCs w:val="24"/>
        </w:rPr>
        <w:t>špičky.</w:t>
      </w:r>
    </w:p>
    <w:p w:rsidR="00183767" w:rsidRPr="00183767" w:rsidRDefault="00183767" w:rsidP="00C10FC7">
      <w:pPr>
        <w:jc w:val="both"/>
        <w:rPr>
          <w:sz w:val="24"/>
          <w:szCs w:val="24"/>
        </w:rPr>
      </w:pPr>
      <w:r w:rsidRPr="00183767">
        <w:rPr>
          <w:sz w:val="24"/>
          <w:szCs w:val="24"/>
        </w:rPr>
        <w:t xml:space="preserve">Hlasování: Pro: </w:t>
      </w:r>
      <w:proofErr w:type="gramStart"/>
      <w:r w:rsidRPr="00183767">
        <w:rPr>
          <w:sz w:val="24"/>
          <w:szCs w:val="24"/>
        </w:rPr>
        <w:t>4  Proti</w:t>
      </w:r>
      <w:proofErr w:type="gramEnd"/>
      <w:r w:rsidRPr="00183767">
        <w:rPr>
          <w:sz w:val="24"/>
          <w:szCs w:val="24"/>
        </w:rPr>
        <w:t>: 0 Zdržel se: 1</w:t>
      </w:r>
    </w:p>
    <w:p w:rsidR="00183767" w:rsidRDefault="00183767" w:rsidP="00C10FC7">
      <w:pPr>
        <w:jc w:val="both"/>
        <w:rPr>
          <w:b/>
          <w:sz w:val="24"/>
          <w:szCs w:val="24"/>
        </w:rPr>
      </w:pPr>
    </w:p>
    <w:p w:rsidR="00183767" w:rsidRDefault="00183767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67/2015:</w:t>
      </w:r>
    </w:p>
    <w:p w:rsidR="00183767" w:rsidRDefault="00183767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žádá poskytnutí statistiky počtu cestujících na jednotlivých autobusových linkách k projednání výboru.</w:t>
      </w:r>
    </w:p>
    <w:p w:rsidR="00183767" w:rsidRPr="00183767" w:rsidRDefault="00183767" w:rsidP="00C10FC7">
      <w:pPr>
        <w:jc w:val="both"/>
        <w:rPr>
          <w:sz w:val="24"/>
          <w:szCs w:val="24"/>
        </w:rPr>
      </w:pPr>
      <w:r w:rsidRPr="00183767">
        <w:rPr>
          <w:sz w:val="24"/>
          <w:szCs w:val="24"/>
        </w:rPr>
        <w:t>Hlasování: pro: všichni přítomní (5)</w:t>
      </w:r>
    </w:p>
    <w:p w:rsidR="00E846EA" w:rsidRDefault="00E846EA" w:rsidP="00C10FC7">
      <w:pPr>
        <w:jc w:val="both"/>
        <w:rPr>
          <w:b/>
          <w:sz w:val="24"/>
          <w:szCs w:val="24"/>
        </w:rPr>
      </w:pPr>
    </w:p>
    <w:p w:rsidR="00C10FC7" w:rsidRDefault="008613A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 dalších jednání v roce </w:t>
      </w:r>
      <w:proofErr w:type="gramStart"/>
      <w:r>
        <w:rPr>
          <w:sz w:val="24"/>
          <w:szCs w:val="24"/>
        </w:rPr>
        <w:t xml:space="preserve">2015: </w:t>
      </w:r>
      <w:r w:rsidR="00C10FC7">
        <w:rPr>
          <w:sz w:val="24"/>
          <w:szCs w:val="24"/>
        </w:rPr>
        <w:t xml:space="preserve"> </w:t>
      </w:r>
      <w:r w:rsidR="006B724A">
        <w:rPr>
          <w:sz w:val="24"/>
          <w:szCs w:val="24"/>
        </w:rPr>
        <w:t>30.11</w:t>
      </w:r>
      <w:proofErr w:type="gramEnd"/>
      <w:r w:rsidR="006B724A">
        <w:rPr>
          <w:sz w:val="24"/>
          <w:szCs w:val="24"/>
        </w:rPr>
        <w:t>.;</w:t>
      </w:r>
      <w:r w:rsidR="00C10FC7">
        <w:rPr>
          <w:sz w:val="24"/>
          <w:szCs w:val="24"/>
        </w:rPr>
        <w:t xml:space="preserve"> 7.12.</w:t>
      </w: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 ukončeno v </w:t>
      </w:r>
      <w:r w:rsidR="006C67B6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8D4F3E">
        <w:rPr>
          <w:sz w:val="24"/>
          <w:szCs w:val="24"/>
        </w:rPr>
        <w:t>20</w:t>
      </w:r>
      <w:r w:rsidR="00383F3D">
        <w:rPr>
          <w:sz w:val="24"/>
          <w:szCs w:val="24"/>
        </w:rPr>
        <w:t xml:space="preserve"> hod.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je plánováno na </w:t>
      </w:r>
      <w:r w:rsidR="004223EE">
        <w:rPr>
          <w:sz w:val="24"/>
          <w:szCs w:val="24"/>
        </w:rPr>
        <w:t xml:space="preserve">pondělí </w:t>
      </w:r>
      <w:r w:rsidR="003937D3">
        <w:rPr>
          <w:sz w:val="24"/>
          <w:szCs w:val="24"/>
        </w:rPr>
        <w:t xml:space="preserve"> </w:t>
      </w:r>
      <w:proofErr w:type="gramStart"/>
      <w:r w:rsidR="006B724A">
        <w:rPr>
          <w:sz w:val="24"/>
          <w:szCs w:val="24"/>
        </w:rPr>
        <w:t>30.11.2015</w:t>
      </w:r>
      <w:proofErr w:type="gramEnd"/>
      <w:r>
        <w:rPr>
          <w:sz w:val="24"/>
          <w:szCs w:val="24"/>
        </w:rPr>
        <w:t xml:space="preserve"> od 18.00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B" w:rsidRDefault="003020EB">
      <w:r>
        <w:separator/>
      </w:r>
    </w:p>
  </w:endnote>
  <w:endnote w:type="continuationSeparator" w:id="0">
    <w:p w:rsidR="003020EB" w:rsidRDefault="003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B" w:rsidRDefault="003020EB">
      <w:r>
        <w:separator/>
      </w:r>
    </w:p>
  </w:footnote>
  <w:footnote w:type="continuationSeparator" w:id="0">
    <w:p w:rsidR="003020EB" w:rsidRDefault="003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C75A0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B019C"/>
    <w:rsid w:val="002B0D8F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756E"/>
    <w:rsid w:val="005E1410"/>
    <w:rsid w:val="005E345C"/>
    <w:rsid w:val="005E5F09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F4617"/>
    <w:rsid w:val="006F53E8"/>
    <w:rsid w:val="006F5582"/>
    <w:rsid w:val="006F63E1"/>
    <w:rsid w:val="006F7B2A"/>
    <w:rsid w:val="00701087"/>
    <w:rsid w:val="007029B6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5F4E"/>
    <w:rsid w:val="00E755E1"/>
    <w:rsid w:val="00E76074"/>
    <w:rsid w:val="00E846EA"/>
    <w:rsid w:val="00E866F6"/>
    <w:rsid w:val="00E91496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11C3"/>
    <w:rsid w:val="00F82798"/>
    <w:rsid w:val="00F90F6F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7</cp:revision>
  <cp:lastPrinted>2015-11-18T12:34:00Z</cp:lastPrinted>
  <dcterms:created xsi:type="dcterms:W3CDTF">2015-11-16T18:15:00Z</dcterms:created>
  <dcterms:modified xsi:type="dcterms:W3CDTF">2015-11-18T12:34:00Z</dcterms:modified>
</cp:coreProperties>
</file>